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79F" w:rsidRPr="0060479F" w:rsidRDefault="0060479F" w:rsidP="0060479F">
      <w:pPr>
        <w:spacing w:before="100" w:beforeAutospacing="1" w:after="100" w:afterAutospacing="1" w:line="240" w:lineRule="auto"/>
        <w:ind w:left="567"/>
        <w:outlineLvl w:val="0"/>
        <w:rPr>
          <w:rFonts w:eastAsia="Times New Roman" w:cstheme="minorHAnsi"/>
          <w:b/>
          <w:bCs/>
          <w:kern w:val="36"/>
          <w:sz w:val="32"/>
          <w:szCs w:val="32"/>
          <w:lang w:eastAsia="es-AR"/>
        </w:rPr>
      </w:pPr>
      <w:r w:rsidRPr="0060479F">
        <w:rPr>
          <w:rFonts w:eastAsia="Times New Roman" w:cstheme="minorHAnsi"/>
          <w:b/>
          <w:bCs/>
          <w:kern w:val="36"/>
          <w:sz w:val="32"/>
          <w:szCs w:val="32"/>
          <w:lang w:eastAsia="es-AR"/>
        </w:rPr>
        <w:t>Museo de la Xilograf</w:t>
      </w:r>
      <w:r>
        <w:rPr>
          <w:rFonts w:eastAsia="Times New Roman" w:cstheme="minorHAnsi"/>
          <w:b/>
          <w:bCs/>
          <w:kern w:val="36"/>
          <w:sz w:val="32"/>
          <w:szCs w:val="32"/>
          <w:lang w:eastAsia="es-AR"/>
        </w:rPr>
        <w:t>í</w:t>
      </w:r>
      <w:r w:rsidRPr="0060479F">
        <w:rPr>
          <w:rFonts w:eastAsia="Times New Roman" w:cstheme="minorHAnsi"/>
          <w:b/>
          <w:bCs/>
          <w:kern w:val="36"/>
          <w:sz w:val="32"/>
          <w:szCs w:val="32"/>
          <w:lang w:eastAsia="es-AR"/>
        </w:rPr>
        <w:t>a</w:t>
      </w:r>
    </w:p>
    <w:p w:rsidR="0060479F" w:rsidRPr="0060479F" w:rsidRDefault="0060479F" w:rsidP="0060479F">
      <w:pPr>
        <w:spacing w:after="0" w:line="240" w:lineRule="auto"/>
        <w:ind w:left="567"/>
        <w:jc w:val="right"/>
        <w:rPr>
          <w:rFonts w:eastAsia="Times New Roman" w:cstheme="minorHAnsi"/>
          <w:szCs w:val="32"/>
          <w:lang w:eastAsia="es-AR"/>
        </w:rPr>
      </w:pPr>
      <w:r w:rsidRPr="0060479F">
        <w:rPr>
          <w:rFonts w:eastAsia="Times New Roman" w:cstheme="minorHAnsi"/>
          <w:i/>
          <w:iCs/>
          <w:szCs w:val="32"/>
          <w:lang w:eastAsia="es-AR"/>
        </w:rPr>
        <w:t xml:space="preserve">Silvia </w:t>
      </w:r>
      <w:proofErr w:type="spellStart"/>
      <w:r w:rsidRPr="0060479F">
        <w:rPr>
          <w:rFonts w:eastAsia="Times New Roman" w:cstheme="minorHAnsi"/>
          <w:i/>
          <w:iCs/>
          <w:szCs w:val="32"/>
          <w:lang w:eastAsia="es-AR"/>
        </w:rPr>
        <w:t>Dolinko</w:t>
      </w:r>
      <w:proofErr w:type="spellEnd"/>
    </w:p>
    <w:p w:rsidR="0060479F" w:rsidRDefault="0060479F" w:rsidP="0060479F">
      <w:pPr>
        <w:spacing w:after="0" w:line="240" w:lineRule="auto"/>
        <w:ind w:left="567"/>
        <w:jc w:val="right"/>
        <w:rPr>
          <w:rFonts w:eastAsia="Times New Roman" w:cstheme="minorHAnsi"/>
          <w:i/>
          <w:iCs/>
          <w:szCs w:val="32"/>
          <w:lang w:eastAsia="es-AR"/>
        </w:rPr>
      </w:pPr>
      <w:r w:rsidRPr="0060479F">
        <w:rPr>
          <w:rFonts w:eastAsia="Times New Roman" w:cstheme="minorHAnsi"/>
          <w:i/>
          <w:iCs/>
          <w:szCs w:val="32"/>
          <w:lang w:eastAsia="es-AR"/>
        </w:rPr>
        <w:t xml:space="preserve">Dra. </w:t>
      </w:r>
      <w:proofErr w:type="gramStart"/>
      <w:r w:rsidRPr="0060479F">
        <w:rPr>
          <w:rFonts w:eastAsia="Times New Roman" w:cstheme="minorHAnsi"/>
          <w:i/>
          <w:iCs/>
          <w:szCs w:val="32"/>
          <w:lang w:eastAsia="es-AR"/>
        </w:rPr>
        <w:t>en</w:t>
      </w:r>
      <w:proofErr w:type="gramEnd"/>
      <w:r w:rsidRPr="0060479F">
        <w:rPr>
          <w:rFonts w:eastAsia="Times New Roman" w:cstheme="minorHAnsi"/>
          <w:i/>
          <w:iCs/>
          <w:szCs w:val="32"/>
          <w:lang w:eastAsia="es-AR"/>
        </w:rPr>
        <w:t xml:space="preserve"> Historia del arte por la Universidad de Buenos Aires. Investigadora del Conicet</w:t>
      </w:r>
    </w:p>
    <w:p w:rsidR="0060479F" w:rsidRDefault="0060479F" w:rsidP="0060479F">
      <w:pPr>
        <w:spacing w:after="0" w:line="240" w:lineRule="auto"/>
        <w:ind w:left="567"/>
        <w:jc w:val="right"/>
        <w:rPr>
          <w:rFonts w:eastAsia="Times New Roman" w:cstheme="minorHAnsi"/>
          <w:lang w:eastAsia="es-AR"/>
        </w:rPr>
      </w:pPr>
      <w:r>
        <w:rPr>
          <w:rFonts w:eastAsia="Times New Roman" w:cstheme="minorHAnsi"/>
          <w:lang w:eastAsia="es-AR"/>
        </w:rPr>
        <w:t>(</w:t>
      </w:r>
      <w:proofErr w:type="gramStart"/>
      <w:r>
        <w:rPr>
          <w:rFonts w:eastAsia="Times New Roman" w:cstheme="minorHAnsi"/>
          <w:lang w:eastAsia="es-AR"/>
        </w:rPr>
        <w:t>extraído</w:t>
      </w:r>
      <w:proofErr w:type="gramEnd"/>
      <w:r>
        <w:rPr>
          <w:rFonts w:eastAsia="Times New Roman" w:cstheme="minorHAnsi"/>
          <w:lang w:eastAsia="es-AR"/>
        </w:rPr>
        <w:t xml:space="preserve"> de </w:t>
      </w:r>
      <w:hyperlink r:id="rId4" w:history="1">
        <w:r w:rsidRPr="00856878">
          <w:rPr>
            <w:rStyle w:val="Hipervnculo"/>
            <w:rFonts w:eastAsia="Times New Roman" w:cstheme="minorHAnsi"/>
            <w:lang w:eastAsia="es-AR"/>
          </w:rPr>
          <w:t>http://www.caev.com.ar/</w:t>
        </w:r>
      </w:hyperlink>
      <w:r>
        <w:rPr>
          <w:rFonts w:eastAsia="Times New Roman" w:cstheme="minorHAnsi"/>
          <w:lang w:eastAsia="es-AR"/>
        </w:rPr>
        <w:t>)</w:t>
      </w:r>
    </w:p>
    <w:p w:rsidR="0060479F" w:rsidRPr="0060479F" w:rsidRDefault="0060479F" w:rsidP="0060479F">
      <w:pPr>
        <w:spacing w:after="0" w:line="240" w:lineRule="auto"/>
        <w:ind w:left="567"/>
        <w:jc w:val="right"/>
        <w:rPr>
          <w:rFonts w:eastAsia="Times New Roman" w:cstheme="minorHAnsi"/>
          <w:szCs w:val="32"/>
          <w:lang w:eastAsia="es-AR"/>
        </w:rPr>
      </w:pPr>
    </w:p>
    <w:p w:rsidR="0060479F" w:rsidRDefault="0060479F" w:rsidP="0060479F">
      <w:pPr>
        <w:spacing w:after="0" w:line="240" w:lineRule="auto"/>
        <w:ind w:left="567"/>
        <w:jc w:val="center"/>
        <w:rPr>
          <w:rFonts w:ascii="Times New Roman" w:eastAsia="Times New Roman" w:hAnsi="Times New Roman" w:cs="Times New Roman"/>
          <w:sz w:val="24"/>
          <w:szCs w:val="24"/>
          <w:lang w:eastAsia="es-AR"/>
        </w:rPr>
      </w:pPr>
      <w:r>
        <w:rPr>
          <w:rFonts w:ascii="Trebuchet MS" w:eastAsia="Times New Roman" w:hAnsi="Trebuchet MS" w:cs="Times New Roman"/>
          <w:b/>
          <w:bCs/>
          <w:noProof/>
          <w:sz w:val="21"/>
          <w:szCs w:val="21"/>
          <w:lang w:eastAsia="es-AR"/>
        </w:rPr>
        <w:drawing>
          <wp:inline distT="0" distB="0" distL="0" distR="0">
            <wp:extent cx="3869022" cy="2583783"/>
            <wp:effectExtent l="0" t="0" r="0" b="0"/>
            <wp:docPr id="1" name="Imagen 1" descr="http://caev.com.ar/images/mx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aev.com.ar/images/mx7.png"/>
                    <pic:cNvPicPr>
                      <a:picLocks noChangeAspect="1" noChangeArrowheads="1"/>
                    </pic:cNvPicPr>
                  </pic:nvPicPr>
                  <pic:blipFill>
                    <a:blip r:embed="rId5" cstate="print"/>
                    <a:srcRect/>
                    <a:stretch>
                      <a:fillRect/>
                    </a:stretch>
                  </pic:blipFill>
                  <pic:spPr bwMode="auto">
                    <a:xfrm>
                      <a:off x="0" y="0"/>
                      <a:ext cx="3870471" cy="2584750"/>
                    </a:xfrm>
                    <a:prstGeom prst="rect">
                      <a:avLst/>
                    </a:prstGeom>
                    <a:noFill/>
                    <a:ln w="9525">
                      <a:noFill/>
                      <a:miter lim="800000"/>
                      <a:headEnd/>
                      <a:tailEnd/>
                    </a:ln>
                  </pic:spPr>
                </pic:pic>
              </a:graphicData>
            </a:graphic>
          </wp:inline>
        </w:drawing>
      </w:r>
    </w:p>
    <w:p w:rsidR="0060479F" w:rsidRPr="0060479F" w:rsidRDefault="0060479F" w:rsidP="0060479F">
      <w:pPr>
        <w:spacing w:after="0" w:line="240" w:lineRule="auto"/>
        <w:ind w:left="567"/>
        <w:jc w:val="both"/>
        <w:rPr>
          <w:rFonts w:ascii="Times New Roman" w:eastAsia="Times New Roman" w:hAnsi="Times New Roman" w:cs="Times New Roman"/>
          <w:sz w:val="24"/>
          <w:szCs w:val="24"/>
          <w:lang w:eastAsia="es-AR"/>
        </w:rPr>
      </w:pPr>
    </w:p>
    <w:p w:rsidR="0060479F" w:rsidRPr="0060479F" w:rsidRDefault="0060479F" w:rsidP="0060479F">
      <w:pPr>
        <w:spacing w:after="0"/>
        <w:ind w:left="567"/>
        <w:jc w:val="both"/>
        <w:rPr>
          <w:rFonts w:eastAsia="Times New Roman" w:cstheme="minorHAnsi"/>
          <w:lang w:eastAsia="es-AR"/>
        </w:rPr>
      </w:pPr>
      <w:r w:rsidRPr="0060479F">
        <w:rPr>
          <w:rFonts w:eastAsia="Times New Roman" w:cstheme="minorHAnsi"/>
          <w:bCs/>
          <w:lang w:eastAsia="es-AR"/>
        </w:rPr>
        <w:t xml:space="preserve">El grabado en madera fue una producción clave para Edgardo Antonio Vigo tanto en lo que refiere a su propio trabajo artístico como en relación con los intercambios que estableció y los circuitos en los que intervino a lo largo de su trayectoria. Esta antigua modalidad de impresión de origen popular posibilitaba la multiplicación y amplia circulación de imágenes: era un ejemplo de lo que Vigo entendía como “un arte tocable”, planteo con el que daba cuenta de su aspiración por desacralizar el acceso a la obra de arte. La </w:t>
      </w:r>
      <w:proofErr w:type="spellStart"/>
      <w:r w:rsidRPr="0060479F">
        <w:rPr>
          <w:rFonts w:eastAsia="Times New Roman" w:cstheme="minorHAnsi"/>
          <w:bCs/>
          <w:lang w:eastAsia="es-AR"/>
        </w:rPr>
        <w:t>multiejemplaridad</w:t>
      </w:r>
      <w:proofErr w:type="spellEnd"/>
      <w:r w:rsidRPr="0060479F">
        <w:rPr>
          <w:rFonts w:eastAsia="Times New Roman" w:cstheme="minorHAnsi"/>
          <w:bCs/>
          <w:lang w:eastAsia="es-AR"/>
        </w:rPr>
        <w:t xml:space="preserve"> de la xilografía le permitía así poner en cuestión –tanto en términos conceptuales como materiales– las limitaciones de la producción única.</w:t>
      </w:r>
    </w:p>
    <w:p w:rsidR="0060479F" w:rsidRPr="0060479F" w:rsidRDefault="0060479F" w:rsidP="0060479F">
      <w:pPr>
        <w:spacing w:after="0"/>
        <w:ind w:left="567"/>
        <w:jc w:val="both"/>
        <w:rPr>
          <w:rFonts w:eastAsia="Times New Roman" w:cstheme="minorHAnsi"/>
          <w:lang w:eastAsia="es-AR"/>
        </w:rPr>
      </w:pPr>
      <w:r w:rsidRPr="0060479F">
        <w:rPr>
          <w:rFonts w:eastAsia="Times New Roman" w:cstheme="minorHAnsi"/>
          <w:lang w:eastAsia="es-AR"/>
        </w:rPr>
        <w:br/>
      </w:r>
      <w:r w:rsidRPr="0060479F">
        <w:rPr>
          <w:rFonts w:eastAsia="Times New Roman" w:cstheme="minorHAnsi"/>
          <w:bCs/>
          <w:lang w:eastAsia="es-AR"/>
        </w:rPr>
        <w:t xml:space="preserve">Si la voluntad de posibilitar una difusión artística extendida y generar de ese modo una noción de comunidad tuvo un sentido fundamental dentro de los proyectos de Vigo, estas aspiraciones se basaron en gran medida en el grabado en madera como recurso técnico. Así, entre las estrategias y acciones puestas en juego por Vigo cobra una dimensión particular el Museo de la Xilografía de La Plata, </w:t>
      </w:r>
      <w:proofErr w:type="gramStart"/>
      <w:r w:rsidRPr="0060479F">
        <w:rPr>
          <w:rFonts w:eastAsia="Times New Roman" w:cstheme="minorHAnsi"/>
          <w:bCs/>
          <w:lang w:eastAsia="es-AR"/>
        </w:rPr>
        <w:t>gestado</w:t>
      </w:r>
      <w:proofErr w:type="gramEnd"/>
      <w:r w:rsidRPr="0060479F">
        <w:rPr>
          <w:rFonts w:eastAsia="Times New Roman" w:cstheme="minorHAnsi"/>
          <w:bCs/>
          <w:lang w:eastAsia="es-AR"/>
        </w:rPr>
        <w:t xml:space="preserve"> en 1967 a partir de su intercambio de ideas con el Carlos Pacheco.</w:t>
      </w:r>
    </w:p>
    <w:p w:rsidR="0060479F" w:rsidRPr="0060479F" w:rsidRDefault="0060479F" w:rsidP="0060479F">
      <w:pPr>
        <w:spacing w:after="0"/>
        <w:ind w:left="567"/>
        <w:jc w:val="both"/>
        <w:rPr>
          <w:rFonts w:eastAsia="Times New Roman" w:cstheme="minorHAnsi"/>
          <w:lang w:eastAsia="es-AR"/>
        </w:rPr>
      </w:pPr>
      <w:r w:rsidRPr="0060479F">
        <w:rPr>
          <w:rFonts w:eastAsia="Times New Roman" w:cstheme="minorHAnsi"/>
          <w:lang w:eastAsia="es-AR"/>
        </w:rPr>
        <w:br/>
      </w:r>
      <w:r w:rsidRPr="0060479F">
        <w:rPr>
          <w:rFonts w:eastAsia="Times New Roman" w:cstheme="minorHAnsi"/>
          <w:bCs/>
          <w:lang w:eastAsia="es-AR"/>
        </w:rPr>
        <w:t>Ya en sus primeras publicaciones –</w:t>
      </w:r>
      <w:r w:rsidRPr="0060479F">
        <w:rPr>
          <w:rFonts w:eastAsia="Times New Roman" w:cstheme="minorHAnsi"/>
          <w:bCs/>
          <w:i/>
          <w:iCs/>
          <w:lang w:eastAsia="es-AR"/>
        </w:rPr>
        <w:t>WC</w:t>
      </w:r>
      <w:r w:rsidRPr="0060479F">
        <w:rPr>
          <w:rFonts w:eastAsia="Times New Roman" w:cstheme="minorHAnsi"/>
          <w:bCs/>
          <w:lang w:eastAsia="es-AR"/>
        </w:rPr>
        <w:t xml:space="preserve">, </w:t>
      </w:r>
      <w:r w:rsidRPr="0060479F">
        <w:rPr>
          <w:rFonts w:eastAsia="Times New Roman" w:cstheme="minorHAnsi"/>
          <w:bCs/>
          <w:i/>
          <w:iCs/>
          <w:lang w:eastAsia="es-AR"/>
        </w:rPr>
        <w:t>DRKW</w:t>
      </w:r>
      <w:r w:rsidRPr="0060479F">
        <w:rPr>
          <w:rFonts w:eastAsia="Times New Roman" w:cstheme="minorHAnsi"/>
          <w:bCs/>
          <w:lang w:eastAsia="es-AR"/>
        </w:rPr>
        <w:t xml:space="preserve">, </w:t>
      </w:r>
      <w:r w:rsidRPr="0060479F">
        <w:rPr>
          <w:rFonts w:eastAsia="Times New Roman" w:cstheme="minorHAnsi"/>
          <w:bCs/>
          <w:i/>
          <w:iCs/>
          <w:lang w:eastAsia="es-AR"/>
        </w:rPr>
        <w:t>Diagonal Cero</w:t>
      </w:r>
      <w:r w:rsidRPr="0060479F">
        <w:rPr>
          <w:rFonts w:eastAsia="Times New Roman" w:cstheme="minorHAnsi"/>
          <w:bCs/>
          <w:lang w:eastAsia="es-AR"/>
        </w:rPr>
        <w:t>– Vigo había incluido cantidad de sus estampas originales, presentadas bajo rótulos genéricos como “grabados en madera” o “madera/textura”; también se destacó dentro de esta última revista la serie de ocho cuadernillos de xilografías de distintos artistas publicados entre 1964 y 1966. Tiempo después, los cuadernillos tomaron forma independiente a través de la edición de la serie “Xilógrafos de hoy” que siguió hasta 1969.</w:t>
      </w:r>
      <w:r w:rsidRPr="0060479F">
        <w:rPr>
          <w:rFonts w:eastAsia="Times New Roman" w:cstheme="minorHAnsi"/>
          <w:bCs/>
          <w:lang w:eastAsia="es-AR"/>
        </w:rPr>
        <w:br/>
      </w:r>
      <w:r w:rsidRPr="0060479F">
        <w:rPr>
          <w:rFonts w:eastAsia="Times New Roman" w:cstheme="minorHAnsi"/>
          <w:bCs/>
          <w:lang w:eastAsia="es-AR"/>
        </w:rPr>
        <w:lastRenderedPageBreak/>
        <w:br/>
        <w:t>Fue también en 1964 cuando Vigo sostuvo la necesidad de “un Museo que se presente delante de nosotros constantemente. Unas galerías que perdieran el carácter de tales, que funcionaran más a la vista de ese dinámico andar del hombre por nuestras calles. [...] En cuanto al interés popular, es un problema de educación visual. Cursos en bibliotecas populares, exposiciones [...] podrían dar una apertura interesantísima para abrir los grifos de ese interés popular.” Este planteo –expresado por el artista en un texto mecanografiado, uno de los documentos de las cajas Biopsia del archivo del Centro de Arte Experimental Vigo– anticipaba en forma implícita el programa del Museo de la Xilografía que concret</w:t>
      </w:r>
      <w:r>
        <w:rPr>
          <w:rFonts w:eastAsia="Times New Roman" w:cstheme="minorHAnsi"/>
          <w:bCs/>
          <w:lang w:eastAsia="es-AR"/>
        </w:rPr>
        <w:t xml:space="preserve">aría a fines </w:t>
      </w:r>
      <w:r w:rsidRPr="0060479F">
        <w:rPr>
          <w:rFonts w:eastAsia="Times New Roman" w:cstheme="minorHAnsi"/>
          <w:bCs/>
          <w:lang w:eastAsia="es-AR"/>
        </w:rPr>
        <w:t>de la década.</w:t>
      </w:r>
      <w:r w:rsidRPr="0060479F">
        <w:rPr>
          <w:rFonts w:eastAsia="Times New Roman" w:cstheme="minorHAnsi"/>
          <w:bCs/>
          <w:lang w:eastAsia="es-AR"/>
        </w:rPr>
        <w:br/>
      </w:r>
      <w:r w:rsidRPr="0060479F">
        <w:rPr>
          <w:rFonts w:eastAsia="Times New Roman" w:cstheme="minorHAnsi"/>
          <w:bCs/>
          <w:lang w:eastAsia="es-AR"/>
        </w:rPr>
        <w:br/>
        <w:t xml:space="preserve">En 1968, las instituciones artísticas eran objeto de fuertes cuestionamientos. Vigo era </w:t>
      </w:r>
      <w:proofErr w:type="spellStart"/>
      <w:r w:rsidRPr="0060479F">
        <w:rPr>
          <w:rFonts w:eastAsia="Times New Roman" w:cstheme="minorHAnsi"/>
          <w:bCs/>
          <w:lang w:eastAsia="es-AR"/>
        </w:rPr>
        <w:t>conciente</w:t>
      </w:r>
      <w:proofErr w:type="spellEnd"/>
      <w:r w:rsidRPr="0060479F">
        <w:rPr>
          <w:rFonts w:eastAsia="Times New Roman" w:cstheme="minorHAnsi"/>
          <w:bCs/>
          <w:lang w:eastAsia="es-AR"/>
        </w:rPr>
        <w:t xml:space="preserve"> de lo complejo de esta situación, y así explicitaba que “fundar un Museo en nuestros días es contradictorio. Cuando el arte en su eterna rebusca clama la calle, la cotidianidad, la comunicación directa, es una acción gratuita hablar del ‘encierro’ característico que el ‘MUSEO-Muselina’ nos da. [...] el Museo de la Xilografía de La Plata, pretende captar esa DINAMICA DE ACCION CONTEMPORÁNEA y bregará como Institución actual, ser la cabeza de una nueva toma de posición para el enfrentamiento OBRA-COMUNIDAD”. Vigo suscribió esas palabras en ocasión de la presentación del Museo de la Xilografía en la Galería de arte del Cine Teatro Ópera de La Plata (un año antes, con el museo aún “en formación”, había concretado la exposición </w:t>
      </w:r>
      <w:r w:rsidRPr="0060479F">
        <w:rPr>
          <w:rFonts w:eastAsia="Times New Roman" w:cstheme="minorHAnsi"/>
          <w:bCs/>
          <w:i/>
          <w:iCs/>
          <w:lang w:eastAsia="es-AR"/>
        </w:rPr>
        <w:t>Grabadores de La Plata</w:t>
      </w:r>
      <w:r w:rsidRPr="0060479F">
        <w:rPr>
          <w:rFonts w:eastAsia="Times New Roman" w:cstheme="minorHAnsi"/>
          <w:bCs/>
          <w:lang w:eastAsia="es-AR"/>
        </w:rPr>
        <w:t xml:space="preserve"> en el Museo del Grabado, en Buenos Aires) cuando ya se incluían en su acervo obras de Pompeyo </w:t>
      </w:r>
      <w:proofErr w:type="spellStart"/>
      <w:r w:rsidRPr="0060479F">
        <w:rPr>
          <w:rFonts w:eastAsia="Times New Roman" w:cstheme="minorHAnsi"/>
          <w:bCs/>
          <w:lang w:eastAsia="es-AR"/>
        </w:rPr>
        <w:t>Audivert</w:t>
      </w:r>
      <w:proofErr w:type="spellEnd"/>
      <w:r w:rsidRPr="0060479F">
        <w:rPr>
          <w:rFonts w:eastAsia="Times New Roman" w:cstheme="minorHAnsi"/>
          <w:bCs/>
          <w:lang w:eastAsia="es-AR"/>
        </w:rPr>
        <w:t xml:space="preserve">, Carlos Pacheco, Víctor </w:t>
      </w:r>
      <w:proofErr w:type="spellStart"/>
      <w:r w:rsidRPr="0060479F">
        <w:rPr>
          <w:rFonts w:eastAsia="Times New Roman" w:cstheme="minorHAnsi"/>
          <w:bCs/>
          <w:lang w:eastAsia="es-AR"/>
        </w:rPr>
        <w:t>Rebuffo</w:t>
      </w:r>
      <w:proofErr w:type="spellEnd"/>
      <w:r w:rsidRPr="0060479F">
        <w:rPr>
          <w:rFonts w:eastAsia="Times New Roman" w:cstheme="minorHAnsi"/>
          <w:bCs/>
          <w:lang w:eastAsia="es-AR"/>
        </w:rPr>
        <w:t xml:space="preserve">, José Rueda, Abel </w:t>
      </w:r>
      <w:proofErr w:type="spellStart"/>
      <w:r w:rsidRPr="0060479F">
        <w:rPr>
          <w:rFonts w:eastAsia="Times New Roman" w:cstheme="minorHAnsi"/>
          <w:bCs/>
          <w:lang w:eastAsia="es-AR"/>
        </w:rPr>
        <w:t>Versacci</w:t>
      </w:r>
      <w:proofErr w:type="spellEnd"/>
      <w:r w:rsidRPr="0060479F">
        <w:rPr>
          <w:rFonts w:eastAsia="Times New Roman" w:cstheme="minorHAnsi"/>
          <w:bCs/>
          <w:lang w:eastAsia="es-AR"/>
        </w:rPr>
        <w:t xml:space="preserve"> y del propio Vigo junto a la de algunos artistas de Brasil, Uruguay, Chile, Suiza, Paraguay y Francia. Este patrimonio inicial se fue acrecentando progresivamente a partir de donaciones y canjes entre artistas hasta llegar a incluir más de dos mil estampas –que, además de las mayoritarias xilografías, incluye </w:t>
      </w:r>
      <w:proofErr w:type="spellStart"/>
      <w:r w:rsidRPr="0060479F">
        <w:rPr>
          <w:rFonts w:eastAsia="Times New Roman" w:cstheme="minorHAnsi"/>
          <w:bCs/>
          <w:lang w:eastAsia="es-AR"/>
        </w:rPr>
        <w:t>monocopias</w:t>
      </w:r>
      <w:proofErr w:type="spellEnd"/>
      <w:r w:rsidRPr="0060479F">
        <w:rPr>
          <w:rFonts w:eastAsia="Times New Roman" w:cstheme="minorHAnsi"/>
          <w:bCs/>
          <w:lang w:eastAsia="es-AR"/>
        </w:rPr>
        <w:t>, aguafuertes y técnicas mixtas–, como también matrices de madera legadas por algunos grabadores.</w:t>
      </w:r>
      <w:r w:rsidRPr="0060479F">
        <w:rPr>
          <w:rFonts w:eastAsia="Times New Roman" w:cstheme="minorHAnsi"/>
          <w:bCs/>
          <w:lang w:eastAsia="es-AR"/>
        </w:rPr>
        <w:br/>
      </w:r>
      <w:r w:rsidRPr="0060479F">
        <w:rPr>
          <w:rFonts w:eastAsia="Times New Roman" w:cstheme="minorHAnsi"/>
          <w:bCs/>
          <w:lang w:eastAsia="es-AR"/>
        </w:rPr>
        <w:br/>
        <w:t xml:space="preserve">El Museo de la Xilografía desarrollado por Vigo no era una institución formal ni contaba con una sede física convencional. Se trataba de “cajas-móviles”, maletines de madera con manija y sujetadas por correas de tela o de cuero, con “paquetes” de estampas; a partir de esta condición de ubicuidad, el museo podía ser prestado para exhibirse en espacios culturales, instalarse en escuelas, clubes u otros ámbitos de sociabilidad, como así también en casas particulares. El artista planteaba que se trataba de “pequeñas exposiciones de rápido montaje. Con un simple elemento de sustentación (un atril, un pizarrón, un saliente donde colgar) se instala la muestra ambulante con idéntica sencillez a la de un puesto de feria”. En muchas ocasiones, Vigo sumaba a la exposición de estampas una charla en la que divulgaba aspectos de la historia y la técnica xilográfica, poniendo así en acto la función pedagógica y de comunicación también </w:t>
      </w:r>
      <w:proofErr w:type="spellStart"/>
      <w:r w:rsidRPr="0060479F">
        <w:rPr>
          <w:rFonts w:eastAsia="Times New Roman" w:cstheme="minorHAnsi"/>
          <w:bCs/>
          <w:lang w:eastAsia="es-AR"/>
        </w:rPr>
        <w:t>fundante</w:t>
      </w:r>
      <w:proofErr w:type="spellEnd"/>
      <w:r w:rsidRPr="0060479F">
        <w:rPr>
          <w:rFonts w:eastAsia="Times New Roman" w:cstheme="minorHAnsi"/>
          <w:bCs/>
          <w:lang w:eastAsia="es-AR"/>
        </w:rPr>
        <w:t xml:space="preserve"> de este proyecto. Sin espacio fijo ni formal, la circulación de este museo albergado en cajas-valija con ecos duchampianos permitía trasladar su colección en forma extendida a la vez que íntima; de este modo, su </w:t>
      </w:r>
      <w:proofErr w:type="spellStart"/>
      <w:r w:rsidRPr="0060479F">
        <w:rPr>
          <w:rFonts w:eastAsia="Times New Roman" w:cstheme="minorHAnsi"/>
          <w:bCs/>
          <w:lang w:eastAsia="es-AR"/>
        </w:rPr>
        <w:lastRenderedPageBreak/>
        <w:t>itinerancia</w:t>
      </w:r>
      <w:proofErr w:type="spellEnd"/>
      <w:r w:rsidRPr="0060479F">
        <w:rPr>
          <w:rFonts w:eastAsia="Times New Roman" w:cstheme="minorHAnsi"/>
          <w:bCs/>
          <w:lang w:eastAsia="es-AR"/>
        </w:rPr>
        <w:t xml:space="preserve"> podía concretar la aspiración de Vigo a una salida a la calle de esta producción multiejemplar y, por ende, un acercamiento popular a la obra de arte: el Museo-valija transportaba una muestra de estampas originales y “tocables”.</w:t>
      </w:r>
      <w:r w:rsidRPr="0060479F">
        <w:rPr>
          <w:rFonts w:eastAsia="Times New Roman" w:cstheme="minorHAnsi"/>
          <w:bCs/>
          <w:lang w:eastAsia="es-AR"/>
        </w:rPr>
        <w:br/>
        <w:t xml:space="preserve">Junto a la conformación de esta colección –y retomando estrategias iniciadas en los años sesenta–, Vigo emprendió la publicación de dos series o colecciones de carpetas con grabados impresos con tacos originales, firmados y numerados, presentados como Ediciones del Museo de la Xilografía de La Plata. Entre 1973 y 1974 se concretó la colección “Xilógrafos de La Plata” (editada junto con “El león herbívoro”, librería El Patio y la galería Libraco) que incluyó carpetas de Lidia </w:t>
      </w:r>
      <w:proofErr w:type="spellStart"/>
      <w:r w:rsidRPr="0060479F">
        <w:rPr>
          <w:rFonts w:eastAsia="Times New Roman" w:cstheme="minorHAnsi"/>
          <w:bCs/>
          <w:lang w:eastAsia="es-AR"/>
        </w:rPr>
        <w:t>Kalibatas</w:t>
      </w:r>
      <w:proofErr w:type="spellEnd"/>
      <w:r w:rsidRPr="0060479F">
        <w:rPr>
          <w:rFonts w:eastAsia="Times New Roman" w:cstheme="minorHAnsi"/>
          <w:bCs/>
          <w:lang w:eastAsia="es-AR"/>
        </w:rPr>
        <w:t xml:space="preserve">, Sixto González, Adriana </w:t>
      </w:r>
      <w:proofErr w:type="spellStart"/>
      <w:r w:rsidRPr="0060479F">
        <w:rPr>
          <w:rFonts w:eastAsia="Times New Roman" w:cstheme="minorHAnsi"/>
          <w:bCs/>
          <w:lang w:eastAsia="es-AR"/>
        </w:rPr>
        <w:t>Grimaux</w:t>
      </w:r>
      <w:proofErr w:type="spellEnd"/>
      <w:r w:rsidRPr="0060479F">
        <w:rPr>
          <w:rFonts w:eastAsia="Times New Roman" w:cstheme="minorHAnsi"/>
          <w:bCs/>
          <w:lang w:eastAsia="es-AR"/>
        </w:rPr>
        <w:t xml:space="preserve"> y Graciela Gutiérrez Marx. Otra serie fue editada entre 1980 y 1989, con obras de Vigo, Hipólito </w:t>
      </w:r>
      <w:proofErr w:type="spellStart"/>
      <w:r w:rsidRPr="0060479F">
        <w:rPr>
          <w:rFonts w:eastAsia="Times New Roman" w:cstheme="minorHAnsi"/>
          <w:bCs/>
          <w:lang w:eastAsia="es-AR"/>
        </w:rPr>
        <w:t>Vieytes</w:t>
      </w:r>
      <w:proofErr w:type="spellEnd"/>
      <w:r w:rsidRPr="0060479F">
        <w:rPr>
          <w:rFonts w:eastAsia="Times New Roman" w:cstheme="minorHAnsi"/>
          <w:bCs/>
          <w:lang w:eastAsia="es-AR"/>
        </w:rPr>
        <w:t xml:space="preserve">, Hebe </w:t>
      </w:r>
      <w:proofErr w:type="spellStart"/>
      <w:r w:rsidRPr="0060479F">
        <w:rPr>
          <w:rFonts w:eastAsia="Times New Roman" w:cstheme="minorHAnsi"/>
          <w:bCs/>
          <w:lang w:eastAsia="es-AR"/>
        </w:rPr>
        <w:t>Redoano</w:t>
      </w:r>
      <w:proofErr w:type="spellEnd"/>
      <w:r w:rsidRPr="0060479F">
        <w:rPr>
          <w:rFonts w:eastAsia="Times New Roman" w:cstheme="minorHAnsi"/>
          <w:bCs/>
          <w:lang w:eastAsia="es-AR"/>
        </w:rPr>
        <w:t xml:space="preserve">, Enrique </w:t>
      </w:r>
      <w:proofErr w:type="spellStart"/>
      <w:r w:rsidRPr="0060479F">
        <w:rPr>
          <w:rFonts w:eastAsia="Times New Roman" w:cstheme="minorHAnsi"/>
          <w:bCs/>
          <w:lang w:eastAsia="es-AR"/>
        </w:rPr>
        <w:t>Arau</w:t>
      </w:r>
      <w:proofErr w:type="spellEnd"/>
      <w:r w:rsidRPr="0060479F">
        <w:rPr>
          <w:rFonts w:eastAsia="Times New Roman" w:cstheme="minorHAnsi"/>
          <w:bCs/>
          <w:lang w:eastAsia="es-AR"/>
        </w:rPr>
        <w:t xml:space="preserve">, Carlos </w:t>
      </w:r>
      <w:proofErr w:type="spellStart"/>
      <w:r w:rsidRPr="0060479F">
        <w:rPr>
          <w:rFonts w:eastAsia="Times New Roman" w:cstheme="minorHAnsi"/>
          <w:bCs/>
          <w:lang w:eastAsia="es-AR"/>
        </w:rPr>
        <w:t>Pamparana</w:t>
      </w:r>
      <w:proofErr w:type="spellEnd"/>
      <w:r w:rsidRPr="0060479F">
        <w:rPr>
          <w:rFonts w:eastAsia="Times New Roman" w:cstheme="minorHAnsi"/>
          <w:bCs/>
          <w:lang w:eastAsia="es-AR"/>
        </w:rPr>
        <w:t xml:space="preserve">, Hilda Paz, Laico Bou, Ludovico Pérez y Gustavo </w:t>
      </w:r>
      <w:proofErr w:type="spellStart"/>
      <w:r w:rsidRPr="0060479F">
        <w:rPr>
          <w:rFonts w:eastAsia="Times New Roman" w:cstheme="minorHAnsi"/>
          <w:bCs/>
          <w:lang w:eastAsia="es-AR"/>
        </w:rPr>
        <w:t>Larsen</w:t>
      </w:r>
      <w:proofErr w:type="spellEnd"/>
      <w:r w:rsidRPr="0060479F">
        <w:rPr>
          <w:rFonts w:eastAsia="Times New Roman" w:cstheme="minorHAnsi"/>
          <w:bCs/>
          <w:lang w:eastAsia="es-AR"/>
        </w:rPr>
        <w:t>.</w:t>
      </w:r>
      <w:r w:rsidRPr="0060479F">
        <w:rPr>
          <w:rFonts w:eastAsia="Times New Roman" w:cstheme="minorHAnsi"/>
          <w:bCs/>
          <w:lang w:eastAsia="es-AR"/>
        </w:rPr>
        <w:br/>
      </w:r>
      <w:r w:rsidRPr="0060479F">
        <w:rPr>
          <w:rFonts w:eastAsia="Times New Roman" w:cstheme="minorHAnsi"/>
          <w:bCs/>
          <w:lang w:eastAsia="es-AR"/>
        </w:rPr>
        <w:br/>
        <w:t>Como sostuviera Vigo, la labor cultural de difusión comunitaria de este museo “nacido bajo la necesidad de abrir nuevos canales” tenía como propósitos principales “llegar” y “mostrar”, a la vez que “escapar a los encierros clásicos de las instituciones que atomizan el arte”. Desarrollado por Vigo en forma ininterrumpida lo largo de tres décadas, el Museo de la Xilografía de La Plata fue el proyecto de mayor continuidad en el tiempo de los tantos que sostuviera este artista múltiple y polifacético.</w:t>
      </w:r>
    </w:p>
    <w:p w:rsidR="0060479F" w:rsidRPr="0060479F" w:rsidRDefault="0060479F" w:rsidP="0060479F">
      <w:pPr>
        <w:spacing w:after="0"/>
        <w:ind w:left="567"/>
        <w:jc w:val="both"/>
        <w:rPr>
          <w:rFonts w:eastAsia="Times New Roman" w:cstheme="minorHAnsi"/>
          <w:lang w:eastAsia="es-AR"/>
        </w:rPr>
      </w:pPr>
      <w:r w:rsidRPr="0060479F">
        <w:rPr>
          <w:rFonts w:eastAsia="Times New Roman" w:cstheme="minorHAnsi"/>
          <w:lang w:eastAsia="es-AR"/>
        </w:rPr>
        <w:br/>
      </w:r>
    </w:p>
    <w:p w:rsidR="0060479F" w:rsidRPr="0060479F" w:rsidRDefault="0060479F" w:rsidP="0060479F">
      <w:pPr>
        <w:spacing w:after="0"/>
        <w:ind w:left="567"/>
        <w:jc w:val="both"/>
        <w:rPr>
          <w:rFonts w:eastAsia="Times New Roman" w:cstheme="minorHAnsi"/>
          <w:lang w:eastAsia="es-AR"/>
        </w:rPr>
      </w:pPr>
    </w:p>
    <w:p w:rsidR="00696E90" w:rsidRPr="0060479F" w:rsidRDefault="0060479F" w:rsidP="0060479F">
      <w:pPr>
        <w:ind w:left="567"/>
        <w:jc w:val="both"/>
        <w:rPr>
          <w:rFonts w:cstheme="minorHAnsi"/>
        </w:rPr>
      </w:pPr>
    </w:p>
    <w:sectPr w:rsidR="00696E90" w:rsidRPr="0060479F" w:rsidSect="00545402">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compat/>
  <w:rsids>
    <w:rsidRoot w:val="0060479F"/>
    <w:rsid w:val="00545402"/>
    <w:rsid w:val="0060479F"/>
    <w:rsid w:val="00A04ACA"/>
    <w:rsid w:val="00D6414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402"/>
  </w:style>
  <w:style w:type="paragraph" w:styleId="Ttulo1">
    <w:name w:val="heading 1"/>
    <w:basedOn w:val="Normal"/>
    <w:link w:val="Ttulo1Car"/>
    <w:uiPriority w:val="9"/>
    <w:qFormat/>
    <w:rsid w:val="006047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0479F"/>
    <w:rPr>
      <w:rFonts w:ascii="Times New Roman" w:eastAsia="Times New Roman" w:hAnsi="Times New Roman" w:cs="Times New Roman"/>
      <w:b/>
      <w:bCs/>
      <w:kern w:val="36"/>
      <w:sz w:val="48"/>
      <w:szCs w:val="48"/>
      <w:lang w:eastAsia="es-AR"/>
    </w:rPr>
  </w:style>
  <w:style w:type="character" w:styleId="Textoennegrita">
    <w:name w:val="Strong"/>
    <w:basedOn w:val="Fuentedeprrafopredeter"/>
    <w:uiPriority w:val="22"/>
    <w:qFormat/>
    <w:rsid w:val="0060479F"/>
    <w:rPr>
      <w:b/>
      <w:bCs/>
    </w:rPr>
  </w:style>
  <w:style w:type="character" w:styleId="nfasis">
    <w:name w:val="Emphasis"/>
    <w:basedOn w:val="Fuentedeprrafopredeter"/>
    <w:uiPriority w:val="20"/>
    <w:qFormat/>
    <w:rsid w:val="0060479F"/>
    <w:rPr>
      <w:i/>
      <w:iCs/>
    </w:rPr>
  </w:style>
  <w:style w:type="paragraph" w:styleId="Textodeglobo">
    <w:name w:val="Balloon Text"/>
    <w:basedOn w:val="Normal"/>
    <w:link w:val="TextodegloboCar"/>
    <w:uiPriority w:val="99"/>
    <w:semiHidden/>
    <w:unhideWhenUsed/>
    <w:rsid w:val="006047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0479F"/>
    <w:rPr>
      <w:rFonts w:ascii="Tahoma" w:hAnsi="Tahoma" w:cs="Tahoma"/>
      <w:sz w:val="16"/>
      <w:szCs w:val="16"/>
    </w:rPr>
  </w:style>
  <w:style w:type="character" w:styleId="Hipervnculo">
    <w:name w:val="Hyperlink"/>
    <w:basedOn w:val="Fuentedeprrafopredeter"/>
    <w:uiPriority w:val="99"/>
    <w:unhideWhenUsed/>
    <w:rsid w:val="0060479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881211">
      <w:bodyDiv w:val="1"/>
      <w:marLeft w:val="0"/>
      <w:marRight w:val="0"/>
      <w:marTop w:val="0"/>
      <w:marBottom w:val="0"/>
      <w:divBdr>
        <w:top w:val="none" w:sz="0" w:space="0" w:color="auto"/>
        <w:left w:val="none" w:sz="0" w:space="0" w:color="auto"/>
        <w:bottom w:val="none" w:sz="0" w:space="0" w:color="auto"/>
        <w:right w:val="none" w:sz="0" w:space="0" w:color="auto"/>
      </w:divBdr>
      <w:divsChild>
        <w:div w:id="671490601">
          <w:marLeft w:val="0"/>
          <w:marRight w:val="0"/>
          <w:marTop w:val="0"/>
          <w:marBottom w:val="0"/>
          <w:divBdr>
            <w:top w:val="none" w:sz="0" w:space="0" w:color="auto"/>
            <w:left w:val="none" w:sz="0" w:space="0" w:color="auto"/>
            <w:bottom w:val="none" w:sz="0" w:space="0" w:color="auto"/>
            <w:right w:val="none" w:sz="0" w:space="0" w:color="auto"/>
          </w:divBdr>
          <w:divsChild>
            <w:div w:id="1829705005">
              <w:marLeft w:val="0"/>
              <w:marRight w:val="0"/>
              <w:marTop w:val="0"/>
              <w:marBottom w:val="0"/>
              <w:divBdr>
                <w:top w:val="none" w:sz="0" w:space="0" w:color="auto"/>
                <w:left w:val="none" w:sz="0" w:space="0" w:color="auto"/>
                <w:bottom w:val="none" w:sz="0" w:space="0" w:color="auto"/>
                <w:right w:val="none" w:sz="0" w:space="0" w:color="auto"/>
              </w:divBdr>
            </w:div>
            <w:div w:id="176733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caev.com.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1023</Words>
  <Characters>5627</Characters>
  <Application>Microsoft Office Word</Application>
  <DocSecurity>0</DocSecurity>
  <Lines>46</Lines>
  <Paragraphs>13</Paragraphs>
  <ScaleCrop>false</ScaleCrop>
  <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 Valente</dc:creator>
  <cp:lastModifiedBy>Alicia Valente</cp:lastModifiedBy>
  <cp:revision>1</cp:revision>
  <dcterms:created xsi:type="dcterms:W3CDTF">2017-10-16T01:36:00Z</dcterms:created>
  <dcterms:modified xsi:type="dcterms:W3CDTF">2017-10-16T01:39:00Z</dcterms:modified>
</cp:coreProperties>
</file>